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Приложение №11</w:t>
      </w:r>
      <w:bookmarkStart w:id="0" w:name="_GoBack"/>
      <w:bookmarkEnd w:id="0"/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ЛОГБУ «Гатчинский ДРП»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к приказу №</w:t>
      </w:r>
      <w:r>
        <w:rPr>
          <w:rFonts w:cs="Times New Roman" w:ascii="Times New Roman" w:hAnsi="Times New Roman"/>
          <w:bCs/>
          <w:sz w:val="20"/>
          <w:szCs w:val="20"/>
        </w:rPr>
        <w:t xml:space="preserve">46 </w:t>
      </w:r>
      <w:r>
        <w:rPr>
          <w:rFonts w:cs="Times New Roman" w:ascii="Times New Roman" w:hAnsi="Times New Roman"/>
          <w:bCs/>
          <w:sz w:val="20"/>
          <w:szCs w:val="20"/>
        </w:rPr>
        <w:t xml:space="preserve">от </w:t>
      </w:r>
      <w:r>
        <w:rPr>
          <w:rFonts w:cs="Times New Roman" w:ascii="Times New Roman" w:hAnsi="Times New Roman"/>
          <w:bCs/>
          <w:sz w:val="20"/>
          <w:szCs w:val="20"/>
        </w:rPr>
        <w:t>13</w:t>
      </w:r>
      <w:r>
        <w:rPr>
          <w:rFonts w:cs="Times New Roman" w:ascii="Times New Roman" w:hAnsi="Times New Roman"/>
          <w:bCs/>
          <w:sz w:val="20"/>
          <w:szCs w:val="20"/>
        </w:rPr>
        <w:t>.02.2024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Правила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обмена деловыми подарками и знаками делового гостеприимства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 w:bidi="ru-RU"/>
        </w:rPr>
        <w:t>Ленинградского областного государственного стационарного бюджетного учреждения социального обслуживания «Гатчинский дом реабилитационного проживания»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Общие положения</w:t>
      </w:r>
    </w:p>
    <w:p>
      <w:pPr>
        <w:pStyle w:val="ListParagraph"/>
        <w:spacing w:lineRule="auto" w:line="240" w:before="0" w:after="0"/>
        <w:ind w:left="106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1.1. Правила обмена деловыми подарками и знаками делового гостеприимства в ЛОГБУ «Гатчинский ДРП» (далее – Правила) разработаны в соответствии с положениями Конституции Российской Федерации,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1.2. Правила определяют единые для всех работников ЛОГБУ «Гатчинский ДРП» (далее – Учреждение) требования к дарению и принятию деловых подарков.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1.3. 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1.4.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1.6. Данные Правила преследуют следующие цели: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Требования, предъявляемые к деловым подаркам и знакам делового гостеприимства</w:t>
      </w:r>
    </w:p>
    <w:p>
      <w:pPr>
        <w:pStyle w:val="ListParagraph"/>
        <w:spacing w:lineRule="auto" w:line="240" w:before="0" w:after="0"/>
        <w:ind w:left="106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антикорупционного законодательства и настоящим Правилам.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2.2. 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быть прямо связаны с уставными целями деятельности Учреждения, либо с памятными датами, юбилеями, общенациональными праздниками, иными событиями;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не создавать для получателя обязательства, связанные с его служебным положением или исполнением служебных (должностных) обязанностей;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не создавать репутационного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2.5. Стоимость и периодичность дарения и получения деловых подарков и/или участия в представительских мероприятиях одного и того же лица должны определяться деловой необходимостью и быть разумными.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2.7. Подарки и услуги не должны ставить под сомнение имидж или деловую репутацию Учреждения или его работников.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Права и обязанности работников Учреждения при обмене деловыми подарками и знаками делового гостеприимства</w:t>
      </w:r>
    </w:p>
    <w:p>
      <w:pPr>
        <w:pStyle w:val="ListParagraph"/>
        <w:spacing w:lineRule="auto" w:line="240" w:before="0" w:after="0"/>
        <w:ind w:left="106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3.5. Работники Учреждения не вправе использовать служебное положение в личных целях, включая использование имущества Учреждения, в том числе: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3.10. Работник Учреждения не вправе предлагать третьим лицам или принимать от таковых подарков,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3.11. Работник Учреждения, которому при выполнении должностных обязанностей предлагаются подарки или иное вознаграждение, которые способны пов</w:t>
        <w:softHyphen/>
        <w:t xml:space="preserve">лиять на подготавливаемые и/или принимаемые им решения или оказать влияние на его действие/ бездействие, должен: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исключить дальнейшие контакты с лицом, предложившим подарок или возна</w:t>
        <w:softHyphen/>
        <w:t xml:space="preserve">граждение, если только это не связано со служебной необходимостью;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ответственных за противодействие коррупции, в соответствии с Положением о конфликте интересов, принятым в Учреждении.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3.13. Работникам Учреждения запрещается: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принимать без согласования с руководителем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принимать подарки в виде наличных, безналичных денежных средств, ценных бумаг, драгоценных металлов.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Область применения Правил</w:t>
      </w:r>
    </w:p>
    <w:p>
      <w:pPr>
        <w:pStyle w:val="ListParagraph"/>
        <w:spacing w:lineRule="auto" w:line="240" w:before="0" w:after="0"/>
        <w:ind w:left="106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type w:val="nextPage"/>
      <w:pgSz w:w="11906" w:h="16838"/>
      <w:pgMar w:left="1701" w:right="850" w:gutter="0" w:header="0" w:top="85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fficinaSansBook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fficinaSansBold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544e00"/>
    <w:rPr>
      <w:sz w:val="20"/>
      <w:szCs w:val="20"/>
    </w:rPr>
  </w:style>
  <w:style w:type="character" w:styleId="Style15">
    <w:name w:val="Символ сноски"/>
    <w:uiPriority w:val="99"/>
    <w:semiHidden/>
    <w:unhideWhenUsed/>
    <w:qFormat/>
    <w:rsid w:val="00544e00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A10" w:customStyle="1">
    <w:name w:val="A10"/>
    <w:uiPriority w:val="99"/>
    <w:qFormat/>
    <w:rsid w:val="000d7816"/>
    <w:rPr>
      <w:rFonts w:ascii="OfficinaSansBookC" w:hAnsi="OfficinaSansBookC" w:cs="OfficinaSansBookC"/>
      <w:color w:val="000000"/>
      <w:sz w:val="20"/>
      <w:szCs w:val="20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44e00"/>
    <w:pPr>
      <w:spacing w:before="0" w:after="160"/>
      <w:ind w:left="720"/>
      <w:contextualSpacing/>
    </w:pPr>
    <w:rPr/>
  </w:style>
  <w:style w:type="paragraph" w:styleId="FootnoteText">
    <w:name w:val="Footnote Text"/>
    <w:basedOn w:val="Normal"/>
    <w:link w:val="Style14"/>
    <w:uiPriority w:val="99"/>
    <w:semiHidden/>
    <w:unhideWhenUsed/>
    <w:rsid w:val="00544e00"/>
    <w:pPr>
      <w:spacing w:lineRule="auto" w:line="240" w:before="0" w:after="0"/>
    </w:pPr>
    <w:rPr>
      <w:sz w:val="20"/>
      <w:szCs w:val="20"/>
    </w:rPr>
  </w:style>
  <w:style w:type="paragraph" w:styleId="Pa14" w:customStyle="1">
    <w:name w:val="Pa14"/>
    <w:basedOn w:val="Normal"/>
    <w:next w:val="Normal"/>
    <w:uiPriority w:val="99"/>
    <w:semiHidden/>
    <w:qFormat/>
    <w:rsid w:val="00544e00"/>
    <w:pPr>
      <w:spacing w:lineRule="atLeast" w:line="237" w:before="0" w:after="0"/>
    </w:pPr>
    <w:rPr>
      <w:rFonts w:ascii="OfficinaSansBoldC" w:hAnsi="OfficinaSansBoldC"/>
      <w:sz w:val="24"/>
      <w:szCs w:val="24"/>
    </w:rPr>
  </w:style>
  <w:style w:type="paragraph" w:styleId="Pa8" w:customStyle="1">
    <w:name w:val="Pa8"/>
    <w:basedOn w:val="Normal"/>
    <w:next w:val="Normal"/>
    <w:uiPriority w:val="99"/>
    <w:semiHidden/>
    <w:qFormat/>
    <w:rsid w:val="000d7816"/>
    <w:pPr>
      <w:spacing w:lineRule="atLeast" w:line="237" w:before="0" w:after="0"/>
    </w:pPr>
    <w:rPr>
      <w:rFonts w:ascii="OfficinaSansBoldC" w:hAnsi="OfficinaSansBoldC"/>
      <w:sz w:val="24"/>
      <w:szCs w:val="24"/>
    </w:rPr>
  </w:style>
  <w:style w:type="paragraph" w:styleId="Default" w:customStyle="1">
    <w:name w:val="Default"/>
    <w:uiPriority w:val="99"/>
    <w:semiHidden/>
    <w:qFormat/>
    <w:rsid w:val="000d7816"/>
    <w:pPr>
      <w:widowControl/>
      <w:suppressAutoHyphens w:val="true"/>
      <w:bidi w:val="0"/>
      <w:spacing w:lineRule="auto" w:line="240" w:before="0" w:after="0"/>
      <w:jc w:val="left"/>
    </w:pPr>
    <w:rPr>
      <w:rFonts w:ascii="OfficinaSansBookC" w:hAnsi="OfficinaSansBookC" w:eastAsia="Calibri" w:cs="OfficinaSansBookC"/>
      <w:color w:val="000000"/>
      <w:kern w:val="0"/>
      <w:sz w:val="24"/>
      <w:szCs w:val="24"/>
      <w:lang w:val="ru-RU" w:eastAsia="en-US" w:bidi="ar-SA"/>
    </w:rPr>
  </w:style>
  <w:style w:type="paragraph" w:styleId="Pa0" w:customStyle="1">
    <w:name w:val="Pa0"/>
    <w:basedOn w:val="Default"/>
    <w:next w:val="Default"/>
    <w:uiPriority w:val="99"/>
    <w:semiHidden/>
    <w:qFormat/>
    <w:rsid w:val="000d7816"/>
    <w:pPr>
      <w:spacing w:lineRule="atLeast" w:line="237"/>
    </w:pPr>
    <w:rPr>
      <w:rFonts w:cs="" w:cstheme="minorBidi"/>
      <w:color w:val="auto"/>
    </w:rPr>
  </w:style>
  <w:style w:type="paragraph" w:styleId="Pa3" w:customStyle="1">
    <w:name w:val="Pa3"/>
    <w:basedOn w:val="Default"/>
    <w:next w:val="Default"/>
    <w:uiPriority w:val="99"/>
    <w:semiHidden/>
    <w:qFormat/>
    <w:rsid w:val="000d7816"/>
    <w:pPr>
      <w:spacing w:lineRule="atLeast" w:line="281"/>
    </w:pPr>
    <w:rPr>
      <w:rFonts w:cs="" w:cstheme="minorBidi"/>
      <w:color w:val="auto"/>
    </w:rPr>
  </w:style>
  <w:style w:type="paragraph" w:styleId="Pa1" w:customStyle="1">
    <w:name w:val="Pa1"/>
    <w:basedOn w:val="Default"/>
    <w:next w:val="Default"/>
    <w:uiPriority w:val="99"/>
    <w:semiHidden/>
    <w:qFormat/>
    <w:rsid w:val="000d7816"/>
    <w:pPr>
      <w:spacing w:lineRule="atLeast" w:line="237"/>
    </w:pPr>
    <w:rPr>
      <w:rFonts w:cs="" w:cstheme="minorBidi"/>
      <w:color w:val="auto"/>
    </w:rPr>
  </w:style>
  <w:style w:type="paragraph" w:styleId="Pa15" w:customStyle="1">
    <w:name w:val="Pa15"/>
    <w:basedOn w:val="Default"/>
    <w:next w:val="Default"/>
    <w:uiPriority w:val="99"/>
    <w:semiHidden/>
    <w:qFormat/>
    <w:rsid w:val="000d7816"/>
    <w:pPr>
      <w:spacing w:lineRule="atLeast" w:line="141"/>
    </w:pPr>
    <w:rPr>
      <w:rFonts w:cs="" w:cstheme="minorBidi"/>
      <w:color w:val="auto"/>
    </w:rPr>
  </w:style>
  <w:style w:type="paragraph" w:styleId="Pa10" w:customStyle="1">
    <w:name w:val="Pa10"/>
    <w:basedOn w:val="Default"/>
    <w:next w:val="Default"/>
    <w:uiPriority w:val="99"/>
    <w:semiHidden/>
    <w:qFormat/>
    <w:rsid w:val="000d7816"/>
    <w:pPr>
      <w:spacing w:lineRule="atLeast" w:line="201"/>
    </w:pPr>
    <w:rPr>
      <w:rFonts w:cs="" w:cstheme="minorBid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44e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d78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LibreOffice/7.6.4.1$Windows_X86_64 LibreOffice_project/e19e193f88cd6c0525a17fb7a176ed8e6a3e2aa1</Application>
  <AppVersion>15.0000</AppVersion>
  <Pages>4</Pages>
  <Words>1396</Words>
  <Characters>9862</Characters>
  <CharactersWithSpaces>11284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2024-02-13T09:56:00Z</dcterms:created>
  <dc:creator>Sod</dc:creator>
  <dc:description/>
  <dc:language>ru-RU</dc:language>
  <cp:lastModifiedBy/>
  <cp:lastPrinted>2022-11-23T13:43:00Z</cp:lastPrinted>
  <dcterms:modified xsi:type="dcterms:W3CDTF">2024-02-13T15:19:07Z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